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B2D9E" w14:textId="37264D95" w:rsidR="00001543" w:rsidRPr="00817AC1" w:rsidRDefault="00001543" w:rsidP="00001543">
      <w:pPr>
        <w:pStyle w:val="Heading3"/>
        <w:rPr>
          <w:color w:val="005FC4"/>
          <w:sz w:val="26"/>
          <w:szCs w:val="26"/>
        </w:rPr>
      </w:pPr>
      <w:bookmarkStart w:id="0" w:name="_GoBack"/>
      <w:bookmarkEnd w:id="0"/>
      <w:r w:rsidRPr="00817AC1">
        <w:rPr>
          <w:color w:val="005FC4"/>
          <w:sz w:val="26"/>
          <w:szCs w:val="26"/>
        </w:rPr>
        <w:t>Key Performance Indicators</w:t>
      </w:r>
    </w:p>
    <w:p w14:paraId="37820900" w14:textId="77777777" w:rsidR="00001543" w:rsidRDefault="00001543" w:rsidP="00001543">
      <w:pPr>
        <w:pStyle w:val="BodyText"/>
        <w:spacing w:before="119"/>
        <w:ind w:left="119" w:right="198" w:firstLine="0"/>
      </w:pPr>
      <w:r>
        <w:t>Ultimately, the success of this SEP effort will be measured by our ability to improve Black Hills State University’s performance on a handful of metrics that really matter. It is essential that these few metrics, the plan’s key performance indicators (KPIs), make sense for BHSU and for its unique context. During both of our day-one sessions, we explored the KPI question.</w:t>
      </w:r>
    </w:p>
    <w:p w14:paraId="12A00F8F" w14:textId="77777777" w:rsidR="00001543" w:rsidRDefault="00001543" w:rsidP="00001543">
      <w:pPr>
        <w:pStyle w:val="BodyText"/>
        <w:ind w:left="119" w:right="278" w:firstLine="0"/>
      </w:pPr>
      <w:r>
        <w:t>The table below represents your consultant’s attempt to merge the KPIs captured from the chancellor’s cabinet and the SEP steering committee. This table is also included separately with the report as a Word document to support ongoing updates and revisions.</w:t>
      </w:r>
    </w:p>
    <w:p w14:paraId="21818A29" w14:textId="77777777" w:rsidR="00001543" w:rsidRDefault="00001543" w:rsidP="00001543">
      <w:pPr>
        <w:pStyle w:val="BodyText"/>
        <w:spacing w:before="5"/>
        <w:ind w:firstLine="0"/>
        <w:rPr>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0"/>
        <w:gridCol w:w="6971"/>
      </w:tblGrid>
      <w:tr w:rsidR="00001543" w14:paraId="67AA5DF3" w14:textId="77777777" w:rsidTr="00E77B74">
        <w:trPr>
          <w:trHeight w:val="365"/>
        </w:trPr>
        <w:tc>
          <w:tcPr>
            <w:tcW w:w="2380" w:type="dxa"/>
          </w:tcPr>
          <w:p w14:paraId="019E1CFE" w14:textId="77777777" w:rsidR="00001543" w:rsidRDefault="00001543" w:rsidP="00E77B74">
            <w:pPr>
              <w:pStyle w:val="TableParagraph"/>
              <w:spacing w:before="59"/>
              <w:ind w:left="107" w:firstLine="0"/>
              <w:rPr>
                <w:rFonts w:ascii="Century Gothic"/>
                <w:b/>
                <w:sz w:val="20"/>
              </w:rPr>
            </w:pPr>
            <w:r>
              <w:rPr>
                <w:rFonts w:ascii="Century Gothic"/>
                <w:b/>
                <w:color w:val="005FC4"/>
                <w:sz w:val="20"/>
              </w:rPr>
              <w:t>Category</w:t>
            </w:r>
          </w:p>
        </w:tc>
        <w:tc>
          <w:tcPr>
            <w:tcW w:w="6971" w:type="dxa"/>
          </w:tcPr>
          <w:p w14:paraId="29CAE470" w14:textId="77777777" w:rsidR="00001543" w:rsidRDefault="00001543" w:rsidP="00E77B74">
            <w:pPr>
              <w:pStyle w:val="TableParagraph"/>
              <w:spacing w:before="59"/>
              <w:ind w:left="107" w:firstLine="0"/>
              <w:rPr>
                <w:rFonts w:ascii="Century Gothic"/>
                <w:b/>
                <w:sz w:val="20"/>
              </w:rPr>
            </w:pPr>
            <w:r>
              <w:rPr>
                <w:rFonts w:ascii="Century Gothic"/>
                <w:b/>
                <w:color w:val="005FC4"/>
                <w:sz w:val="20"/>
              </w:rPr>
              <w:t>Key Performance Indicator</w:t>
            </w:r>
          </w:p>
        </w:tc>
      </w:tr>
      <w:tr w:rsidR="00001543" w14:paraId="561E39AA" w14:textId="77777777" w:rsidTr="00E77B74">
        <w:trPr>
          <w:trHeight w:val="1780"/>
        </w:trPr>
        <w:tc>
          <w:tcPr>
            <w:tcW w:w="2380" w:type="dxa"/>
          </w:tcPr>
          <w:p w14:paraId="0DE320A3" w14:textId="77777777" w:rsidR="00001543" w:rsidRDefault="00001543" w:rsidP="00E77B74">
            <w:pPr>
              <w:pStyle w:val="TableParagraph"/>
              <w:spacing w:before="59"/>
              <w:ind w:left="107" w:firstLine="0"/>
              <w:rPr>
                <w:sz w:val="20"/>
              </w:rPr>
            </w:pPr>
            <w:r>
              <w:rPr>
                <w:sz w:val="20"/>
              </w:rPr>
              <w:t>Enrollment</w:t>
            </w:r>
          </w:p>
        </w:tc>
        <w:tc>
          <w:tcPr>
            <w:tcW w:w="6971" w:type="dxa"/>
          </w:tcPr>
          <w:p w14:paraId="5D67D7D8" w14:textId="77777777" w:rsidR="00001543" w:rsidRDefault="00001543" w:rsidP="00001543">
            <w:pPr>
              <w:pStyle w:val="TableParagraph"/>
              <w:numPr>
                <w:ilvl w:val="0"/>
                <w:numId w:val="5"/>
              </w:numPr>
              <w:tabs>
                <w:tab w:val="left" w:pos="324"/>
              </w:tabs>
              <w:spacing w:before="18"/>
              <w:rPr>
                <w:sz w:val="20"/>
              </w:rPr>
            </w:pPr>
            <w:r>
              <w:rPr>
                <w:sz w:val="20"/>
              </w:rPr>
              <w:t>Headcount: undergraduate; graduate;</w:t>
            </w:r>
            <w:r>
              <w:rPr>
                <w:spacing w:val="-3"/>
                <w:sz w:val="20"/>
              </w:rPr>
              <w:t xml:space="preserve"> </w:t>
            </w:r>
            <w:r>
              <w:rPr>
                <w:sz w:val="20"/>
              </w:rPr>
              <w:t>total</w:t>
            </w:r>
          </w:p>
          <w:p w14:paraId="73D05002" w14:textId="5D58E164" w:rsidR="00001543" w:rsidRDefault="00001543" w:rsidP="00001543">
            <w:pPr>
              <w:pStyle w:val="TableParagraph"/>
              <w:numPr>
                <w:ilvl w:val="0"/>
                <w:numId w:val="5"/>
              </w:numPr>
              <w:tabs>
                <w:tab w:val="left" w:pos="324"/>
              </w:tabs>
              <w:spacing w:before="21"/>
              <w:rPr>
                <w:sz w:val="20"/>
              </w:rPr>
            </w:pPr>
            <w:r>
              <w:rPr>
                <w:sz w:val="20"/>
              </w:rPr>
              <w:t>FTE: undergraduate; graduate;</w:t>
            </w:r>
            <w:r>
              <w:rPr>
                <w:spacing w:val="-3"/>
                <w:sz w:val="20"/>
              </w:rPr>
              <w:t xml:space="preserve"> </w:t>
            </w:r>
            <w:r>
              <w:rPr>
                <w:sz w:val="20"/>
              </w:rPr>
              <w:t>total</w:t>
            </w:r>
          </w:p>
          <w:p w14:paraId="35CB9963" w14:textId="05633056" w:rsidR="00F53C6F" w:rsidRDefault="00F53C6F" w:rsidP="00001543">
            <w:pPr>
              <w:pStyle w:val="TableParagraph"/>
              <w:numPr>
                <w:ilvl w:val="0"/>
                <w:numId w:val="5"/>
              </w:numPr>
              <w:tabs>
                <w:tab w:val="left" w:pos="324"/>
              </w:tabs>
              <w:spacing w:before="21"/>
              <w:rPr>
                <w:sz w:val="20"/>
              </w:rPr>
            </w:pPr>
            <w:r>
              <w:rPr>
                <w:sz w:val="20"/>
              </w:rPr>
              <w:t>Student credit hours:  undergraduate, graduate, total</w:t>
            </w:r>
          </w:p>
          <w:p w14:paraId="199A5510" w14:textId="0492CED1" w:rsidR="00001543" w:rsidRDefault="00001543" w:rsidP="00001543">
            <w:pPr>
              <w:pStyle w:val="TableParagraph"/>
              <w:numPr>
                <w:ilvl w:val="0"/>
                <w:numId w:val="5"/>
              </w:numPr>
              <w:tabs>
                <w:tab w:val="left" w:pos="324"/>
              </w:tabs>
              <w:rPr>
                <w:sz w:val="20"/>
              </w:rPr>
            </w:pPr>
            <w:r>
              <w:rPr>
                <w:sz w:val="20"/>
              </w:rPr>
              <w:t xml:space="preserve">Cohort headcount: </w:t>
            </w:r>
            <w:proofErr w:type="gramStart"/>
            <w:r>
              <w:rPr>
                <w:sz w:val="20"/>
              </w:rPr>
              <w:t>first-year</w:t>
            </w:r>
            <w:proofErr w:type="gramEnd"/>
            <w:r>
              <w:rPr>
                <w:sz w:val="20"/>
              </w:rPr>
              <w:t>;</w:t>
            </w:r>
            <w:r>
              <w:rPr>
                <w:spacing w:val="-4"/>
                <w:sz w:val="20"/>
              </w:rPr>
              <w:t xml:space="preserve"> </w:t>
            </w:r>
            <w:r>
              <w:rPr>
                <w:sz w:val="20"/>
              </w:rPr>
              <w:t>transfer</w:t>
            </w:r>
          </w:p>
          <w:p w14:paraId="44493751" w14:textId="064EC183" w:rsidR="00F53C6F" w:rsidRPr="00871338" w:rsidRDefault="00F53C6F" w:rsidP="00871338">
            <w:pPr>
              <w:pStyle w:val="TableParagraph"/>
              <w:numPr>
                <w:ilvl w:val="0"/>
                <w:numId w:val="5"/>
              </w:numPr>
              <w:tabs>
                <w:tab w:val="left" w:pos="324"/>
              </w:tabs>
              <w:rPr>
                <w:sz w:val="20"/>
              </w:rPr>
            </w:pPr>
            <w:r>
              <w:rPr>
                <w:sz w:val="20"/>
              </w:rPr>
              <w:t>Enrollment by location (campus, RC, on-line)</w:t>
            </w:r>
          </w:p>
          <w:p w14:paraId="50BE15DC" w14:textId="4C2A8895" w:rsidR="00001543" w:rsidRDefault="00001543" w:rsidP="00001543">
            <w:pPr>
              <w:pStyle w:val="TableParagraph"/>
              <w:numPr>
                <w:ilvl w:val="0"/>
                <w:numId w:val="5"/>
              </w:numPr>
              <w:tabs>
                <w:tab w:val="left" w:pos="324"/>
              </w:tabs>
              <w:rPr>
                <w:sz w:val="20"/>
              </w:rPr>
            </w:pPr>
            <w:r>
              <w:rPr>
                <w:sz w:val="20"/>
              </w:rPr>
              <w:t xml:space="preserve">First-year and transfer cohort retention rates </w:t>
            </w:r>
          </w:p>
          <w:p w14:paraId="16C6ABED" w14:textId="0D1DABD8" w:rsidR="00F53C6F" w:rsidRDefault="00F53C6F" w:rsidP="00001543">
            <w:pPr>
              <w:pStyle w:val="TableParagraph"/>
              <w:numPr>
                <w:ilvl w:val="0"/>
                <w:numId w:val="5"/>
              </w:numPr>
              <w:tabs>
                <w:tab w:val="left" w:pos="324"/>
              </w:tabs>
              <w:rPr>
                <w:sz w:val="20"/>
              </w:rPr>
            </w:pPr>
            <w:r>
              <w:rPr>
                <w:sz w:val="20"/>
              </w:rPr>
              <w:t>Persistence rates of 2 to 3 year and 3 to 4 year</w:t>
            </w:r>
          </w:p>
          <w:p w14:paraId="27598AF7" w14:textId="77777777" w:rsidR="00001543" w:rsidRDefault="00001543" w:rsidP="00001543">
            <w:pPr>
              <w:pStyle w:val="TableParagraph"/>
              <w:numPr>
                <w:ilvl w:val="0"/>
                <w:numId w:val="5"/>
              </w:numPr>
              <w:tabs>
                <w:tab w:val="left" w:pos="324"/>
              </w:tabs>
              <w:ind w:right="420"/>
              <w:rPr>
                <w:sz w:val="20"/>
              </w:rPr>
            </w:pPr>
            <w:r>
              <w:rPr>
                <w:sz w:val="20"/>
              </w:rPr>
              <w:t>First-year and transfer Cohort graduation rates 3 year (transfer); 4 and 6 year (FY)</w:t>
            </w:r>
          </w:p>
          <w:p w14:paraId="3134EABE" w14:textId="135D2A54" w:rsidR="00001543" w:rsidRDefault="00001543" w:rsidP="00817AC1">
            <w:pPr>
              <w:pStyle w:val="TableParagraph"/>
              <w:numPr>
                <w:ilvl w:val="0"/>
                <w:numId w:val="5"/>
              </w:numPr>
              <w:tabs>
                <w:tab w:val="left" w:pos="324"/>
              </w:tabs>
              <w:spacing w:after="120"/>
              <w:ind w:left="317"/>
              <w:rPr>
                <w:sz w:val="20"/>
              </w:rPr>
            </w:pPr>
            <w:r>
              <w:rPr>
                <w:sz w:val="20"/>
              </w:rPr>
              <w:t xml:space="preserve">Dual-enrollment </w:t>
            </w:r>
            <w:r w:rsidR="00F53C6F">
              <w:rPr>
                <w:sz w:val="20"/>
              </w:rPr>
              <w:t xml:space="preserve">and Rising Scholars </w:t>
            </w:r>
            <w:r>
              <w:rPr>
                <w:sz w:val="20"/>
              </w:rPr>
              <w:t>(total and</w:t>
            </w:r>
            <w:r>
              <w:rPr>
                <w:spacing w:val="-4"/>
                <w:sz w:val="20"/>
              </w:rPr>
              <w:t xml:space="preserve"> </w:t>
            </w:r>
            <w:r>
              <w:rPr>
                <w:sz w:val="20"/>
              </w:rPr>
              <w:t>conversion)</w:t>
            </w:r>
          </w:p>
        </w:tc>
      </w:tr>
      <w:tr w:rsidR="00001543" w14:paraId="7F4B1F2D" w14:textId="77777777" w:rsidTr="00E77B74">
        <w:trPr>
          <w:trHeight w:val="528"/>
        </w:trPr>
        <w:tc>
          <w:tcPr>
            <w:tcW w:w="2380" w:type="dxa"/>
          </w:tcPr>
          <w:p w14:paraId="609702E7" w14:textId="77777777" w:rsidR="00001543" w:rsidRDefault="00001543" w:rsidP="00E77B74">
            <w:pPr>
              <w:pStyle w:val="TableParagraph"/>
              <w:spacing w:before="60"/>
              <w:ind w:left="107" w:firstLine="0"/>
              <w:rPr>
                <w:sz w:val="20"/>
              </w:rPr>
            </w:pPr>
            <w:r>
              <w:rPr>
                <w:sz w:val="20"/>
              </w:rPr>
              <w:t>Student Quality/Shape</w:t>
            </w:r>
          </w:p>
        </w:tc>
        <w:tc>
          <w:tcPr>
            <w:tcW w:w="6971" w:type="dxa"/>
          </w:tcPr>
          <w:p w14:paraId="7ACEC3C0" w14:textId="1CBB98B7" w:rsidR="00F53C6F" w:rsidRDefault="00F53C6F" w:rsidP="00F53C6F">
            <w:pPr>
              <w:pStyle w:val="TableParagraph"/>
              <w:numPr>
                <w:ilvl w:val="0"/>
                <w:numId w:val="4"/>
              </w:numPr>
              <w:tabs>
                <w:tab w:val="left" w:pos="324"/>
              </w:tabs>
              <w:rPr>
                <w:sz w:val="20"/>
              </w:rPr>
            </w:pPr>
            <w:r>
              <w:rPr>
                <w:sz w:val="20"/>
              </w:rPr>
              <w:t>Student demographics</w:t>
            </w:r>
            <w:proofErr w:type="gramStart"/>
            <w:r>
              <w:rPr>
                <w:sz w:val="20"/>
              </w:rPr>
              <w:t>….gender</w:t>
            </w:r>
            <w:proofErr w:type="gramEnd"/>
            <w:r>
              <w:rPr>
                <w:sz w:val="20"/>
              </w:rPr>
              <w:t>, race, Pell-eligible, first generation, etc.</w:t>
            </w:r>
          </w:p>
          <w:p w14:paraId="396F593E" w14:textId="680427E3" w:rsidR="00F53C6F" w:rsidRDefault="00F53C6F" w:rsidP="00F53C6F">
            <w:pPr>
              <w:pStyle w:val="TableParagraph"/>
              <w:numPr>
                <w:ilvl w:val="0"/>
                <w:numId w:val="4"/>
              </w:numPr>
              <w:tabs>
                <w:tab w:val="left" w:pos="324"/>
              </w:tabs>
              <w:spacing w:before="19"/>
              <w:rPr>
                <w:sz w:val="20"/>
              </w:rPr>
            </w:pPr>
            <w:r>
              <w:rPr>
                <w:sz w:val="20"/>
              </w:rPr>
              <w:t>Entering ACT/GPA/class rank</w:t>
            </w:r>
            <w:r w:rsidR="00871338">
              <w:rPr>
                <w:sz w:val="20"/>
              </w:rPr>
              <w:t>, national merit</w:t>
            </w:r>
          </w:p>
          <w:p w14:paraId="027B148C" w14:textId="243FB38B" w:rsidR="00871338" w:rsidRDefault="00871338" w:rsidP="00F53C6F">
            <w:pPr>
              <w:pStyle w:val="TableParagraph"/>
              <w:numPr>
                <w:ilvl w:val="0"/>
                <w:numId w:val="4"/>
              </w:numPr>
              <w:tabs>
                <w:tab w:val="left" w:pos="324"/>
              </w:tabs>
              <w:spacing w:before="19"/>
              <w:rPr>
                <w:sz w:val="20"/>
              </w:rPr>
            </w:pPr>
            <w:r>
              <w:rPr>
                <w:sz w:val="20"/>
              </w:rPr>
              <w:t>Student to faculty ratio</w:t>
            </w:r>
          </w:p>
          <w:p w14:paraId="3F0E278D" w14:textId="5B26B870" w:rsidR="00871338" w:rsidRDefault="00871338" w:rsidP="00F53C6F">
            <w:pPr>
              <w:pStyle w:val="TableParagraph"/>
              <w:numPr>
                <w:ilvl w:val="0"/>
                <w:numId w:val="4"/>
              </w:numPr>
              <w:tabs>
                <w:tab w:val="left" w:pos="324"/>
              </w:tabs>
              <w:spacing w:before="19"/>
              <w:rPr>
                <w:sz w:val="20"/>
              </w:rPr>
            </w:pPr>
            <w:r>
              <w:rPr>
                <w:sz w:val="20"/>
              </w:rPr>
              <w:t>Student satisfaction</w:t>
            </w:r>
          </w:p>
          <w:p w14:paraId="5802D250" w14:textId="74E2B6C7" w:rsidR="00F53C6F" w:rsidRDefault="00F53C6F" w:rsidP="00817AC1">
            <w:pPr>
              <w:pStyle w:val="TableParagraph"/>
              <w:numPr>
                <w:ilvl w:val="0"/>
                <w:numId w:val="4"/>
              </w:numPr>
              <w:tabs>
                <w:tab w:val="left" w:pos="324"/>
              </w:tabs>
              <w:spacing w:after="120"/>
              <w:ind w:left="317"/>
              <w:rPr>
                <w:sz w:val="20"/>
              </w:rPr>
            </w:pPr>
            <w:r>
              <w:rPr>
                <w:sz w:val="20"/>
              </w:rPr>
              <w:t>Student engagement via student organization involvement</w:t>
            </w:r>
          </w:p>
        </w:tc>
      </w:tr>
      <w:tr w:rsidR="00001543" w14:paraId="5C7EBB69" w14:textId="77777777" w:rsidTr="00E77B74">
        <w:trPr>
          <w:trHeight w:val="1547"/>
        </w:trPr>
        <w:tc>
          <w:tcPr>
            <w:tcW w:w="2380" w:type="dxa"/>
          </w:tcPr>
          <w:p w14:paraId="7FF7F290" w14:textId="77777777" w:rsidR="00001543" w:rsidRDefault="00001543" w:rsidP="00E77B74">
            <w:pPr>
              <w:pStyle w:val="TableParagraph"/>
              <w:spacing w:before="60"/>
              <w:ind w:left="107" w:firstLine="0"/>
              <w:rPr>
                <w:sz w:val="20"/>
              </w:rPr>
            </w:pPr>
            <w:r>
              <w:rPr>
                <w:sz w:val="20"/>
              </w:rPr>
              <w:t>Program Quality</w:t>
            </w:r>
          </w:p>
        </w:tc>
        <w:tc>
          <w:tcPr>
            <w:tcW w:w="6971" w:type="dxa"/>
          </w:tcPr>
          <w:p w14:paraId="662169D5" w14:textId="1473E3CF" w:rsidR="00001543" w:rsidRDefault="00001543" w:rsidP="00001543">
            <w:pPr>
              <w:pStyle w:val="TableParagraph"/>
              <w:numPr>
                <w:ilvl w:val="0"/>
                <w:numId w:val="3"/>
              </w:numPr>
              <w:tabs>
                <w:tab w:val="left" w:pos="324"/>
              </w:tabs>
              <w:spacing w:before="19"/>
              <w:rPr>
                <w:sz w:val="20"/>
              </w:rPr>
            </w:pPr>
            <w:r>
              <w:rPr>
                <w:sz w:val="20"/>
              </w:rPr>
              <w:t>High-impact practice</w:t>
            </w:r>
            <w:r w:rsidR="00F53C6F">
              <w:rPr>
                <w:spacing w:val="-2"/>
                <w:sz w:val="20"/>
              </w:rPr>
              <w:t>s (first year seminar, undergraduate research, internships/student teaching, capstone courses/projects)</w:t>
            </w:r>
          </w:p>
          <w:p w14:paraId="551D0C90" w14:textId="40939D1E" w:rsidR="00001543" w:rsidRDefault="00F53C6F" w:rsidP="00001543">
            <w:pPr>
              <w:pStyle w:val="TableParagraph"/>
              <w:numPr>
                <w:ilvl w:val="0"/>
                <w:numId w:val="3"/>
              </w:numPr>
              <w:tabs>
                <w:tab w:val="left" w:pos="324"/>
              </w:tabs>
              <w:spacing w:before="22"/>
              <w:rPr>
                <w:sz w:val="20"/>
              </w:rPr>
            </w:pPr>
            <w:r>
              <w:rPr>
                <w:sz w:val="20"/>
              </w:rPr>
              <w:t>Program accreditation</w:t>
            </w:r>
          </w:p>
          <w:p w14:paraId="79FF5320" w14:textId="3EF64529" w:rsidR="00F53C6F" w:rsidRDefault="00F53C6F" w:rsidP="00001543">
            <w:pPr>
              <w:pStyle w:val="TableParagraph"/>
              <w:numPr>
                <w:ilvl w:val="0"/>
                <w:numId w:val="3"/>
              </w:numPr>
              <w:tabs>
                <w:tab w:val="left" w:pos="324"/>
              </w:tabs>
              <w:spacing w:before="22"/>
              <w:rPr>
                <w:sz w:val="20"/>
              </w:rPr>
            </w:pPr>
            <w:r>
              <w:rPr>
                <w:sz w:val="20"/>
              </w:rPr>
              <w:t>Degree attainment of faculty</w:t>
            </w:r>
          </w:p>
          <w:p w14:paraId="5677C61B" w14:textId="1B65F7D4" w:rsidR="00001543" w:rsidRDefault="00001543" w:rsidP="00001543">
            <w:pPr>
              <w:pStyle w:val="TableParagraph"/>
              <w:numPr>
                <w:ilvl w:val="0"/>
                <w:numId w:val="3"/>
              </w:numPr>
              <w:tabs>
                <w:tab w:val="left" w:pos="324"/>
              </w:tabs>
              <w:spacing w:before="19"/>
              <w:rPr>
                <w:sz w:val="20"/>
              </w:rPr>
            </w:pPr>
            <w:r>
              <w:rPr>
                <w:sz w:val="20"/>
              </w:rPr>
              <w:t>Exam pass</w:t>
            </w:r>
            <w:r>
              <w:rPr>
                <w:spacing w:val="-1"/>
                <w:sz w:val="20"/>
              </w:rPr>
              <w:t xml:space="preserve"> </w:t>
            </w:r>
            <w:r>
              <w:rPr>
                <w:sz w:val="20"/>
              </w:rPr>
              <w:t>rates</w:t>
            </w:r>
            <w:r w:rsidR="00F53C6F">
              <w:rPr>
                <w:sz w:val="20"/>
              </w:rPr>
              <w:t xml:space="preserve"> (PPST, CPA</w:t>
            </w:r>
            <w:r w:rsidR="00871338">
              <w:rPr>
                <w:sz w:val="20"/>
              </w:rPr>
              <w:t>, etc.</w:t>
            </w:r>
            <w:r w:rsidR="00F53C6F">
              <w:rPr>
                <w:sz w:val="20"/>
              </w:rPr>
              <w:t>)</w:t>
            </w:r>
          </w:p>
          <w:p w14:paraId="4BF7D2D3" w14:textId="5DDCA0B5" w:rsidR="00001543" w:rsidRDefault="00001543" w:rsidP="00001543">
            <w:pPr>
              <w:pStyle w:val="TableParagraph"/>
              <w:numPr>
                <w:ilvl w:val="0"/>
                <w:numId w:val="3"/>
              </w:numPr>
              <w:tabs>
                <w:tab w:val="left" w:pos="324"/>
              </w:tabs>
              <w:rPr>
                <w:sz w:val="20"/>
              </w:rPr>
            </w:pPr>
            <w:r>
              <w:rPr>
                <w:sz w:val="20"/>
              </w:rPr>
              <w:t>Placement rates (</w:t>
            </w:r>
            <w:r w:rsidR="00871338">
              <w:rPr>
                <w:sz w:val="20"/>
              </w:rPr>
              <w:t>at graduation; 1 year</w:t>
            </w:r>
            <w:r>
              <w:rPr>
                <w:sz w:val="20"/>
              </w:rPr>
              <w:t>)</w:t>
            </w:r>
          </w:p>
          <w:p w14:paraId="7D5FBA65" w14:textId="42244F91" w:rsidR="00817AC1" w:rsidRPr="00817AC1" w:rsidRDefault="00001543" w:rsidP="00817AC1">
            <w:pPr>
              <w:pStyle w:val="TableParagraph"/>
              <w:numPr>
                <w:ilvl w:val="0"/>
                <w:numId w:val="3"/>
              </w:numPr>
              <w:tabs>
                <w:tab w:val="left" w:pos="324"/>
              </w:tabs>
              <w:spacing w:after="120"/>
              <w:ind w:left="317"/>
              <w:rPr>
                <w:sz w:val="20"/>
              </w:rPr>
            </w:pPr>
            <w:r>
              <w:rPr>
                <w:sz w:val="20"/>
              </w:rPr>
              <w:t>Graduation rates for target populations (i.e., Pell</w:t>
            </w:r>
            <w:r>
              <w:rPr>
                <w:spacing w:val="-6"/>
                <w:sz w:val="20"/>
              </w:rPr>
              <w:t xml:space="preserve"> </w:t>
            </w:r>
            <w:r>
              <w:rPr>
                <w:sz w:val="20"/>
              </w:rPr>
              <w:t>recipients)</w:t>
            </w:r>
          </w:p>
        </w:tc>
      </w:tr>
      <w:tr w:rsidR="00001543" w14:paraId="4C2A049B" w14:textId="77777777" w:rsidTr="00E77B74">
        <w:trPr>
          <w:trHeight w:val="783"/>
        </w:trPr>
        <w:tc>
          <w:tcPr>
            <w:tcW w:w="2380" w:type="dxa"/>
          </w:tcPr>
          <w:p w14:paraId="04E89BC4" w14:textId="77777777" w:rsidR="00001543" w:rsidRDefault="00001543" w:rsidP="00E77B74">
            <w:pPr>
              <w:pStyle w:val="TableParagraph"/>
              <w:spacing w:before="59"/>
              <w:ind w:left="107" w:firstLine="0"/>
              <w:rPr>
                <w:sz w:val="20"/>
              </w:rPr>
            </w:pPr>
            <w:r>
              <w:rPr>
                <w:sz w:val="20"/>
              </w:rPr>
              <w:t>Market Position</w:t>
            </w:r>
          </w:p>
        </w:tc>
        <w:tc>
          <w:tcPr>
            <w:tcW w:w="6971" w:type="dxa"/>
          </w:tcPr>
          <w:p w14:paraId="6AAC61E7" w14:textId="77777777" w:rsidR="00001543" w:rsidRDefault="00001543" w:rsidP="00001543">
            <w:pPr>
              <w:pStyle w:val="TableParagraph"/>
              <w:numPr>
                <w:ilvl w:val="0"/>
                <w:numId w:val="2"/>
              </w:numPr>
              <w:tabs>
                <w:tab w:val="left" w:pos="324"/>
              </w:tabs>
              <w:spacing w:before="18"/>
              <w:rPr>
                <w:sz w:val="20"/>
              </w:rPr>
            </w:pPr>
            <w:r>
              <w:rPr>
                <w:sz w:val="20"/>
              </w:rPr>
              <w:t>Market</w:t>
            </w:r>
            <w:r>
              <w:rPr>
                <w:spacing w:val="-1"/>
                <w:sz w:val="20"/>
              </w:rPr>
              <w:t xml:space="preserve"> </w:t>
            </w:r>
            <w:r>
              <w:rPr>
                <w:sz w:val="20"/>
              </w:rPr>
              <w:t>share</w:t>
            </w:r>
          </w:p>
          <w:p w14:paraId="6CEFF229" w14:textId="358B8DDA" w:rsidR="00817AC1" w:rsidRPr="00817AC1" w:rsidRDefault="00001543" w:rsidP="00817AC1">
            <w:pPr>
              <w:pStyle w:val="TableParagraph"/>
              <w:numPr>
                <w:ilvl w:val="0"/>
                <w:numId w:val="2"/>
              </w:numPr>
              <w:tabs>
                <w:tab w:val="left" w:pos="324"/>
              </w:tabs>
              <w:rPr>
                <w:sz w:val="20"/>
              </w:rPr>
            </w:pPr>
            <w:r>
              <w:rPr>
                <w:sz w:val="20"/>
              </w:rPr>
              <w:t>Employee</w:t>
            </w:r>
            <w:r>
              <w:rPr>
                <w:spacing w:val="-2"/>
                <w:sz w:val="20"/>
              </w:rPr>
              <w:t xml:space="preserve"> </w:t>
            </w:r>
            <w:r>
              <w:rPr>
                <w:sz w:val="20"/>
              </w:rPr>
              <w:t>satisfactio</w:t>
            </w:r>
            <w:r w:rsidR="00817AC1">
              <w:rPr>
                <w:sz w:val="20"/>
              </w:rPr>
              <w:t>n</w:t>
            </w:r>
          </w:p>
        </w:tc>
      </w:tr>
      <w:tr w:rsidR="00817AC1" w14:paraId="015DFECF" w14:textId="77777777" w:rsidTr="00E77B74">
        <w:trPr>
          <w:trHeight w:val="783"/>
        </w:trPr>
        <w:tc>
          <w:tcPr>
            <w:tcW w:w="2380" w:type="dxa"/>
          </w:tcPr>
          <w:p w14:paraId="25AA7F15" w14:textId="2AFECF35" w:rsidR="00817AC1" w:rsidRDefault="00817AC1" w:rsidP="00E77B74">
            <w:pPr>
              <w:pStyle w:val="TableParagraph"/>
              <w:spacing w:before="59"/>
              <w:ind w:left="107" w:firstLine="0"/>
              <w:rPr>
                <w:sz w:val="20"/>
              </w:rPr>
            </w:pPr>
            <w:r>
              <w:rPr>
                <w:sz w:val="20"/>
              </w:rPr>
              <w:t>Fiscal</w:t>
            </w:r>
          </w:p>
        </w:tc>
        <w:tc>
          <w:tcPr>
            <w:tcW w:w="6971" w:type="dxa"/>
          </w:tcPr>
          <w:p w14:paraId="3843F96B" w14:textId="77777777" w:rsidR="00817AC1" w:rsidRPr="00871338" w:rsidRDefault="00817AC1" w:rsidP="00817AC1">
            <w:pPr>
              <w:numPr>
                <w:ilvl w:val="0"/>
                <w:numId w:val="2"/>
              </w:numPr>
              <w:tabs>
                <w:tab w:val="left" w:pos="320"/>
              </w:tabs>
              <w:spacing w:before="18"/>
              <w:rPr>
                <w:sz w:val="20"/>
              </w:rPr>
            </w:pPr>
            <w:r>
              <w:rPr>
                <w:sz w:val="20"/>
              </w:rPr>
              <w:t>CFI</w:t>
            </w:r>
          </w:p>
          <w:p w14:paraId="22C45829" w14:textId="77777777" w:rsidR="00817AC1" w:rsidRDefault="00817AC1" w:rsidP="00817AC1">
            <w:pPr>
              <w:numPr>
                <w:ilvl w:val="0"/>
                <w:numId w:val="2"/>
              </w:numPr>
              <w:tabs>
                <w:tab w:val="left" w:pos="320"/>
              </w:tabs>
              <w:spacing w:before="22"/>
              <w:rPr>
                <w:sz w:val="20"/>
              </w:rPr>
            </w:pPr>
            <w:r>
              <w:rPr>
                <w:sz w:val="20"/>
              </w:rPr>
              <w:t>Net</w:t>
            </w:r>
            <w:r>
              <w:rPr>
                <w:spacing w:val="-2"/>
                <w:sz w:val="20"/>
              </w:rPr>
              <w:t xml:space="preserve"> </w:t>
            </w:r>
            <w:r>
              <w:rPr>
                <w:sz w:val="20"/>
              </w:rPr>
              <w:t>revenue</w:t>
            </w:r>
          </w:p>
          <w:p w14:paraId="6176F203" w14:textId="77777777" w:rsidR="00817AC1" w:rsidRDefault="00817AC1" w:rsidP="00817AC1">
            <w:pPr>
              <w:numPr>
                <w:ilvl w:val="0"/>
                <w:numId w:val="2"/>
              </w:numPr>
              <w:tabs>
                <w:tab w:val="left" w:pos="320"/>
              </w:tabs>
              <w:spacing w:before="20"/>
              <w:rPr>
                <w:sz w:val="20"/>
              </w:rPr>
            </w:pPr>
            <w:r>
              <w:rPr>
                <w:sz w:val="20"/>
              </w:rPr>
              <w:t>Net</w:t>
            </w:r>
            <w:r>
              <w:rPr>
                <w:spacing w:val="-1"/>
                <w:sz w:val="20"/>
              </w:rPr>
              <w:t xml:space="preserve"> </w:t>
            </w:r>
            <w:r>
              <w:rPr>
                <w:sz w:val="20"/>
              </w:rPr>
              <w:t>revenue/student</w:t>
            </w:r>
          </w:p>
          <w:p w14:paraId="2B2F441E" w14:textId="77777777" w:rsidR="00817AC1" w:rsidRDefault="00817AC1" w:rsidP="00817AC1">
            <w:pPr>
              <w:numPr>
                <w:ilvl w:val="0"/>
                <w:numId w:val="2"/>
              </w:numPr>
              <w:tabs>
                <w:tab w:val="left" w:pos="320"/>
              </w:tabs>
              <w:spacing w:before="19"/>
              <w:rPr>
                <w:sz w:val="20"/>
              </w:rPr>
            </w:pPr>
            <w:r>
              <w:rPr>
                <w:sz w:val="20"/>
              </w:rPr>
              <w:t>Residence hall occupancy</w:t>
            </w:r>
            <w:r>
              <w:rPr>
                <w:spacing w:val="-2"/>
                <w:sz w:val="20"/>
              </w:rPr>
              <w:t xml:space="preserve"> </w:t>
            </w:r>
            <w:r>
              <w:rPr>
                <w:sz w:val="20"/>
              </w:rPr>
              <w:t>rates</w:t>
            </w:r>
          </w:p>
          <w:p w14:paraId="4F55035F" w14:textId="77777777" w:rsidR="00817AC1" w:rsidRDefault="00817AC1" w:rsidP="00817AC1">
            <w:pPr>
              <w:numPr>
                <w:ilvl w:val="0"/>
                <w:numId w:val="2"/>
              </w:numPr>
              <w:tabs>
                <w:tab w:val="left" w:pos="320"/>
              </w:tabs>
              <w:spacing w:before="20"/>
              <w:rPr>
                <w:sz w:val="20"/>
              </w:rPr>
            </w:pPr>
            <w:r>
              <w:rPr>
                <w:sz w:val="20"/>
              </w:rPr>
              <w:t>Student loan</w:t>
            </w:r>
            <w:r>
              <w:rPr>
                <w:spacing w:val="-2"/>
                <w:sz w:val="20"/>
              </w:rPr>
              <w:t xml:space="preserve"> </w:t>
            </w:r>
            <w:r>
              <w:rPr>
                <w:sz w:val="20"/>
              </w:rPr>
              <w:t>debt</w:t>
            </w:r>
          </w:p>
          <w:p w14:paraId="0B6F3080" w14:textId="77777777" w:rsidR="00817AC1" w:rsidRDefault="00817AC1" w:rsidP="00817AC1">
            <w:pPr>
              <w:numPr>
                <w:ilvl w:val="0"/>
                <w:numId w:val="2"/>
              </w:numPr>
              <w:tabs>
                <w:tab w:val="left" w:pos="320"/>
              </w:tabs>
              <w:spacing w:before="20"/>
              <w:rPr>
                <w:sz w:val="20"/>
              </w:rPr>
            </w:pPr>
            <w:r>
              <w:rPr>
                <w:sz w:val="20"/>
              </w:rPr>
              <w:t>Donor participation/endowment</w:t>
            </w:r>
            <w:r>
              <w:rPr>
                <w:spacing w:val="-3"/>
                <w:sz w:val="20"/>
              </w:rPr>
              <w:t xml:space="preserve"> </w:t>
            </w:r>
            <w:r>
              <w:rPr>
                <w:sz w:val="20"/>
              </w:rPr>
              <w:t>size</w:t>
            </w:r>
          </w:p>
          <w:p w14:paraId="18DA14D5" w14:textId="45CDBF9C" w:rsidR="00817AC1" w:rsidRPr="00817AC1" w:rsidRDefault="00817AC1" w:rsidP="00817AC1">
            <w:pPr>
              <w:numPr>
                <w:ilvl w:val="0"/>
                <w:numId w:val="2"/>
              </w:numPr>
              <w:tabs>
                <w:tab w:val="left" w:pos="320"/>
              </w:tabs>
              <w:spacing w:before="20" w:after="120"/>
              <w:ind w:left="317"/>
              <w:rPr>
                <w:sz w:val="20"/>
              </w:rPr>
            </w:pPr>
            <w:r>
              <w:rPr>
                <w:sz w:val="20"/>
              </w:rPr>
              <w:t>Scholarships awarded (overall amount; percentage; average per student)</w:t>
            </w:r>
          </w:p>
        </w:tc>
      </w:tr>
    </w:tbl>
    <w:p w14:paraId="2227D3AF" w14:textId="77777777" w:rsidR="00001543" w:rsidRDefault="00001543" w:rsidP="00001543">
      <w:pPr>
        <w:pStyle w:val="BodyText"/>
        <w:spacing w:before="0"/>
        <w:ind w:firstLine="0"/>
        <w:rPr>
          <w:sz w:val="20"/>
        </w:rPr>
      </w:pPr>
    </w:p>
    <w:p w14:paraId="6517AD0C" w14:textId="6DF2B6D6" w:rsidR="00105ACD" w:rsidRDefault="00817AC1" w:rsidP="00105ACD">
      <w:pPr>
        <w:rPr>
          <w:rFonts w:ascii="Calibri" w:eastAsiaTheme="minorHAnsi" w:hAnsi="Calibri" w:cs="Calibri"/>
        </w:rPr>
      </w:pPr>
      <w:r w:rsidRPr="00817AC1">
        <w:rPr>
          <w:b/>
          <w:szCs w:val="20"/>
        </w:rPr>
        <w:t>Note:</w:t>
      </w:r>
      <w:r w:rsidRPr="00817AC1">
        <w:rPr>
          <w:szCs w:val="20"/>
        </w:rPr>
        <w:t xml:space="preserve"> </w:t>
      </w:r>
      <w:r w:rsidR="00105ACD">
        <w:t xml:space="preserve">IPEDS graduation rates measure the 100% and 150% timeline graduation rates of the first-time, full-time, </w:t>
      </w:r>
      <w:proofErr w:type="gramStart"/>
      <w:r w:rsidR="00105ACD">
        <w:t>Bachelor</w:t>
      </w:r>
      <w:proofErr w:type="gramEnd"/>
      <w:r w:rsidR="00105ACD">
        <w:t xml:space="preserve"> degree-seeking students. Exclusions to the cohort are allowed for death of the student, permanent disability, military deployment, or service on an official church mission or foreign aid service of the Federal government. Only </w:t>
      </w:r>
      <w:proofErr w:type="gramStart"/>
      <w:r w:rsidR="00105ACD">
        <w:t>Bachelor</w:t>
      </w:r>
      <w:proofErr w:type="gramEnd"/>
      <w:r w:rsidR="00105ACD">
        <w:t xml:space="preserve"> degrees earned as of August 31</w:t>
      </w:r>
      <w:r w:rsidR="00105ACD">
        <w:rPr>
          <w:vertAlign w:val="superscript"/>
        </w:rPr>
        <w:t>st</w:t>
      </w:r>
      <w:r w:rsidR="00105ACD">
        <w:t xml:space="preserve"> of the </w:t>
      </w:r>
      <w:r w:rsidR="00105ACD">
        <w:lastRenderedPageBreak/>
        <w:t xml:space="preserve">timeline are considered. </w:t>
      </w:r>
    </w:p>
    <w:p w14:paraId="5856880A" w14:textId="77777777" w:rsidR="00105ACD" w:rsidRDefault="00105ACD" w:rsidP="00105ACD"/>
    <w:p w14:paraId="0AADC9F1" w14:textId="77777777" w:rsidR="00105ACD" w:rsidRDefault="00105ACD" w:rsidP="00105ACD">
      <w:r>
        <w:t xml:space="preserve">IPEDS does not track transfer student graduation rates. I would propose a definition that tracked only the transfer students, not the transfer-in-system ones. I would look at the two-year and four-year rates for the </w:t>
      </w:r>
      <w:proofErr w:type="gramStart"/>
      <w:r>
        <w:t>Bachelor</w:t>
      </w:r>
      <w:proofErr w:type="gramEnd"/>
      <w:r>
        <w:t xml:space="preserve"> degree-seekers, again tracking only the earned Bachelor degrees as of August 31</w:t>
      </w:r>
      <w:r>
        <w:rPr>
          <w:vertAlign w:val="superscript"/>
        </w:rPr>
        <w:t>st</w:t>
      </w:r>
      <w:r>
        <w:t xml:space="preserve"> of the timeline with the same allowable exclusions.</w:t>
      </w:r>
    </w:p>
    <w:p w14:paraId="4E07486B" w14:textId="49351962" w:rsidR="00105ACD" w:rsidRDefault="00105ACD" w:rsidP="00001543">
      <w:pPr>
        <w:pStyle w:val="BodyText"/>
        <w:spacing w:before="6"/>
        <w:ind w:firstLine="0"/>
        <w:rPr>
          <w:sz w:val="10"/>
        </w:rPr>
      </w:pPr>
    </w:p>
    <w:p w14:paraId="23BC468B" w14:textId="08EB03C3" w:rsidR="00105ACD" w:rsidRDefault="00105ACD" w:rsidP="00001543">
      <w:pPr>
        <w:pStyle w:val="BodyText"/>
        <w:spacing w:before="6"/>
        <w:ind w:firstLine="0"/>
        <w:rPr>
          <w:sz w:val="10"/>
        </w:rPr>
      </w:pPr>
    </w:p>
    <w:p w14:paraId="43B0DB46" w14:textId="2E7F11EA" w:rsidR="00001543" w:rsidRDefault="00105ACD" w:rsidP="00817AC1">
      <w:pPr>
        <w:pStyle w:val="BodyText"/>
        <w:spacing w:before="99"/>
        <w:ind w:right="296" w:firstLine="0"/>
      </w:pPr>
      <w:r>
        <w:t>Th</w:t>
      </w:r>
      <w:r w:rsidR="00001543">
        <w:t xml:space="preserve">is list of KPIs should be considered a first draft to be reviewed and revised by the SEP steering committee, and ultimately approved by the president and admin team. As data review commences and working groups begin their work later this fall, we may need to revise this list, and will certainly need to add a column for corresponding performance indicators for each work group and within each KPI category. That is a normal part of the </w:t>
      </w:r>
      <w:proofErr w:type="gramStart"/>
      <w:r w:rsidR="00001543">
        <w:t>process, and</w:t>
      </w:r>
      <w:proofErr w:type="gramEnd"/>
      <w:r w:rsidR="00001543">
        <w:t xml:space="preserve"> will facilitate our ongoing conversations about what matters at Black Hills State University.</w:t>
      </w:r>
    </w:p>
    <w:p w14:paraId="72D8E884" w14:textId="7B75BC81" w:rsidR="00934597" w:rsidRDefault="00934597"/>
    <w:p w14:paraId="6ECDA735" w14:textId="62949051" w:rsidR="00F53C6F" w:rsidRDefault="00F53C6F"/>
    <w:sectPr w:rsidR="00F53C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31BA2" w14:textId="77777777" w:rsidR="00CC20FB" w:rsidRDefault="00CC20FB" w:rsidP="00E869BD">
      <w:r>
        <w:separator/>
      </w:r>
    </w:p>
  </w:endnote>
  <w:endnote w:type="continuationSeparator" w:id="0">
    <w:p w14:paraId="214E4F30" w14:textId="77777777" w:rsidR="00CC20FB" w:rsidRDefault="00CC20FB" w:rsidP="00E8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8B7DE" w14:textId="77777777" w:rsidR="00CC20FB" w:rsidRDefault="00CC20FB" w:rsidP="00E869BD">
      <w:r>
        <w:separator/>
      </w:r>
    </w:p>
  </w:footnote>
  <w:footnote w:type="continuationSeparator" w:id="0">
    <w:p w14:paraId="689D2409" w14:textId="77777777" w:rsidR="00CC20FB" w:rsidRDefault="00CC20FB" w:rsidP="00E86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5CB"/>
    <w:multiLevelType w:val="hybridMultilevel"/>
    <w:tmpl w:val="EDD0E874"/>
    <w:lvl w:ilvl="0" w:tplc="671273B2">
      <w:numFmt w:val="bullet"/>
      <w:lvlText w:val=""/>
      <w:lvlJc w:val="left"/>
      <w:pPr>
        <w:ind w:left="323" w:hanging="216"/>
      </w:pPr>
      <w:rPr>
        <w:rFonts w:ascii="Symbol" w:eastAsia="Symbol" w:hAnsi="Symbol" w:cs="Symbol" w:hint="default"/>
        <w:w w:val="99"/>
        <w:sz w:val="16"/>
        <w:szCs w:val="16"/>
      </w:rPr>
    </w:lvl>
    <w:lvl w:ilvl="1" w:tplc="164E1742">
      <w:numFmt w:val="bullet"/>
      <w:lvlText w:val="•"/>
      <w:lvlJc w:val="left"/>
      <w:pPr>
        <w:ind w:left="984" w:hanging="216"/>
      </w:pPr>
      <w:rPr>
        <w:rFonts w:hint="default"/>
      </w:rPr>
    </w:lvl>
    <w:lvl w:ilvl="2" w:tplc="7C1CB5DE">
      <w:numFmt w:val="bullet"/>
      <w:lvlText w:val="•"/>
      <w:lvlJc w:val="left"/>
      <w:pPr>
        <w:ind w:left="1648" w:hanging="216"/>
      </w:pPr>
      <w:rPr>
        <w:rFonts w:hint="default"/>
      </w:rPr>
    </w:lvl>
    <w:lvl w:ilvl="3" w:tplc="A49221E8">
      <w:numFmt w:val="bullet"/>
      <w:lvlText w:val="•"/>
      <w:lvlJc w:val="left"/>
      <w:pPr>
        <w:ind w:left="2312" w:hanging="216"/>
      </w:pPr>
      <w:rPr>
        <w:rFonts w:hint="default"/>
      </w:rPr>
    </w:lvl>
    <w:lvl w:ilvl="4" w:tplc="2840768C">
      <w:numFmt w:val="bullet"/>
      <w:lvlText w:val="•"/>
      <w:lvlJc w:val="left"/>
      <w:pPr>
        <w:ind w:left="2976" w:hanging="216"/>
      </w:pPr>
      <w:rPr>
        <w:rFonts w:hint="default"/>
      </w:rPr>
    </w:lvl>
    <w:lvl w:ilvl="5" w:tplc="5344B9B2">
      <w:numFmt w:val="bullet"/>
      <w:lvlText w:val="•"/>
      <w:lvlJc w:val="left"/>
      <w:pPr>
        <w:ind w:left="3640" w:hanging="216"/>
      </w:pPr>
      <w:rPr>
        <w:rFonts w:hint="default"/>
      </w:rPr>
    </w:lvl>
    <w:lvl w:ilvl="6" w:tplc="6DF26238">
      <w:numFmt w:val="bullet"/>
      <w:lvlText w:val="•"/>
      <w:lvlJc w:val="left"/>
      <w:pPr>
        <w:ind w:left="4304" w:hanging="216"/>
      </w:pPr>
      <w:rPr>
        <w:rFonts w:hint="default"/>
      </w:rPr>
    </w:lvl>
    <w:lvl w:ilvl="7" w:tplc="814A9C90">
      <w:numFmt w:val="bullet"/>
      <w:lvlText w:val="•"/>
      <w:lvlJc w:val="left"/>
      <w:pPr>
        <w:ind w:left="4968" w:hanging="216"/>
      </w:pPr>
      <w:rPr>
        <w:rFonts w:hint="default"/>
      </w:rPr>
    </w:lvl>
    <w:lvl w:ilvl="8" w:tplc="EB0CB160">
      <w:numFmt w:val="bullet"/>
      <w:lvlText w:val="•"/>
      <w:lvlJc w:val="left"/>
      <w:pPr>
        <w:ind w:left="5632" w:hanging="216"/>
      </w:pPr>
      <w:rPr>
        <w:rFonts w:hint="default"/>
      </w:rPr>
    </w:lvl>
  </w:abstractNum>
  <w:abstractNum w:abstractNumId="1" w15:restartNumberingAfterBreak="0">
    <w:nsid w:val="048506E2"/>
    <w:multiLevelType w:val="hybridMultilevel"/>
    <w:tmpl w:val="8BE0B5F4"/>
    <w:lvl w:ilvl="0" w:tplc="CDA00E00">
      <w:numFmt w:val="bullet"/>
      <w:lvlText w:val=""/>
      <w:lvlJc w:val="left"/>
      <w:pPr>
        <w:ind w:left="319" w:hanging="216"/>
      </w:pPr>
      <w:rPr>
        <w:rFonts w:ascii="Symbol" w:eastAsia="Symbol" w:hAnsi="Symbol" w:cs="Symbol" w:hint="default"/>
        <w:w w:val="99"/>
        <w:sz w:val="16"/>
        <w:szCs w:val="16"/>
      </w:rPr>
    </w:lvl>
    <w:lvl w:ilvl="1" w:tplc="6E1203DC">
      <w:numFmt w:val="bullet"/>
      <w:lvlText w:val="•"/>
      <w:lvlJc w:val="left"/>
      <w:pPr>
        <w:ind w:left="984" w:hanging="216"/>
      </w:pPr>
      <w:rPr>
        <w:rFonts w:hint="default"/>
      </w:rPr>
    </w:lvl>
    <w:lvl w:ilvl="2" w:tplc="46C8E438">
      <w:numFmt w:val="bullet"/>
      <w:lvlText w:val="•"/>
      <w:lvlJc w:val="left"/>
      <w:pPr>
        <w:ind w:left="1648" w:hanging="216"/>
      </w:pPr>
      <w:rPr>
        <w:rFonts w:hint="default"/>
      </w:rPr>
    </w:lvl>
    <w:lvl w:ilvl="3" w:tplc="D0BC6A42">
      <w:numFmt w:val="bullet"/>
      <w:lvlText w:val="•"/>
      <w:lvlJc w:val="left"/>
      <w:pPr>
        <w:ind w:left="2312" w:hanging="216"/>
      </w:pPr>
      <w:rPr>
        <w:rFonts w:hint="default"/>
      </w:rPr>
    </w:lvl>
    <w:lvl w:ilvl="4" w:tplc="F5CEA5B6">
      <w:numFmt w:val="bullet"/>
      <w:lvlText w:val="•"/>
      <w:lvlJc w:val="left"/>
      <w:pPr>
        <w:ind w:left="2976" w:hanging="216"/>
      </w:pPr>
      <w:rPr>
        <w:rFonts w:hint="default"/>
      </w:rPr>
    </w:lvl>
    <w:lvl w:ilvl="5" w:tplc="DC40FC5E">
      <w:numFmt w:val="bullet"/>
      <w:lvlText w:val="•"/>
      <w:lvlJc w:val="left"/>
      <w:pPr>
        <w:ind w:left="3640" w:hanging="216"/>
      </w:pPr>
      <w:rPr>
        <w:rFonts w:hint="default"/>
      </w:rPr>
    </w:lvl>
    <w:lvl w:ilvl="6" w:tplc="25B86C5E">
      <w:numFmt w:val="bullet"/>
      <w:lvlText w:val="•"/>
      <w:lvlJc w:val="left"/>
      <w:pPr>
        <w:ind w:left="4304" w:hanging="216"/>
      </w:pPr>
      <w:rPr>
        <w:rFonts w:hint="default"/>
      </w:rPr>
    </w:lvl>
    <w:lvl w:ilvl="7" w:tplc="D5ACC11C">
      <w:numFmt w:val="bullet"/>
      <w:lvlText w:val="•"/>
      <w:lvlJc w:val="left"/>
      <w:pPr>
        <w:ind w:left="4968" w:hanging="216"/>
      </w:pPr>
      <w:rPr>
        <w:rFonts w:hint="default"/>
      </w:rPr>
    </w:lvl>
    <w:lvl w:ilvl="8" w:tplc="EF8C786C">
      <w:numFmt w:val="bullet"/>
      <w:lvlText w:val="•"/>
      <w:lvlJc w:val="left"/>
      <w:pPr>
        <w:ind w:left="5632" w:hanging="216"/>
      </w:pPr>
      <w:rPr>
        <w:rFonts w:hint="default"/>
      </w:rPr>
    </w:lvl>
  </w:abstractNum>
  <w:abstractNum w:abstractNumId="2" w15:restartNumberingAfterBreak="0">
    <w:nsid w:val="09250D21"/>
    <w:multiLevelType w:val="hybridMultilevel"/>
    <w:tmpl w:val="B28AE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F31596"/>
    <w:multiLevelType w:val="hybridMultilevel"/>
    <w:tmpl w:val="B7002684"/>
    <w:lvl w:ilvl="0" w:tplc="1EE69E70">
      <w:numFmt w:val="bullet"/>
      <w:lvlText w:val=""/>
      <w:lvlJc w:val="left"/>
      <w:pPr>
        <w:ind w:left="323" w:hanging="216"/>
      </w:pPr>
      <w:rPr>
        <w:rFonts w:ascii="Symbol" w:eastAsia="Symbol" w:hAnsi="Symbol" w:cs="Symbol" w:hint="default"/>
        <w:w w:val="99"/>
        <w:sz w:val="16"/>
        <w:szCs w:val="16"/>
      </w:rPr>
    </w:lvl>
    <w:lvl w:ilvl="1" w:tplc="D16825E2">
      <w:numFmt w:val="bullet"/>
      <w:lvlText w:val="•"/>
      <w:lvlJc w:val="left"/>
      <w:pPr>
        <w:ind w:left="984" w:hanging="216"/>
      </w:pPr>
      <w:rPr>
        <w:rFonts w:hint="default"/>
      </w:rPr>
    </w:lvl>
    <w:lvl w:ilvl="2" w:tplc="CA16256C">
      <w:numFmt w:val="bullet"/>
      <w:lvlText w:val="•"/>
      <w:lvlJc w:val="left"/>
      <w:pPr>
        <w:ind w:left="1648" w:hanging="216"/>
      </w:pPr>
      <w:rPr>
        <w:rFonts w:hint="default"/>
      </w:rPr>
    </w:lvl>
    <w:lvl w:ilvl="3" w:tplc="2650343E">
      <w:numFmt w:val="bullet"/>
      <w:lvlText w:val="•"/>
      <w:lvlJc w:val="left"/>
      <w:pPr>
        <w:ind w:left="2312" w:hanging="216"/>
      </w:pPr>
      <w:rPr>
        <w:rFonts w:hint="default"/>
      </w:rPr>
    </w:lvl>
    <w:lvl w:ilvl="4" w:tplc="C0A88B78">
      <w:numFmt w:val="bullet"/>
      <w:lvlText w:val="•"/>
      <w:lvlJc w:val="left"/>
      <w:pPr>
        <w:ind w:left="2976" w:hanging="216"/>
      </w:pPr>
      <w:rPr>
        <w:rFonts w:hint="default"/>
      </w:rPr>
    </w:lvl>
    <w:lvl w:ilvl="5" w:tplc="26E8E7EC">
      <w:numFmt w:val="bullet"/>
      <w:lvlText w:val="•"/>
      <w:lvlJc w:val="left"/>
      <w:pPr>
        <w:ind w:left="3640" w:hanging="216"/>
      </w:pPr>
      <w:rPr>
        <w:rFonts w:hint="default"/>
      </w:rPr>
    </w:lvl>
    <w:lvl w:ilvl="6" w:tplc="D49C1E5A">
      <w:numFmt w:val="bullet"/>
      <w:lvlText w:val="•"/>
      <w:lvlJc w:val="left"/>
      <w:pPr>
        <w:ind w:left="4304" w:hanging="216"/>
      </w:pPr>
      <w:rPr>
        <w:rFonts w:hint="default"/>
      </w:rPr>
    </w:lvl>
    <w:lvl w:ilvl="7" w:tplc="E1B8E68C">
      <w:numFmt w:val="bullet"/>
      <w:lvlText w:val="•"/>
      <w:lvlJc w:val="left"/>
      <w:pPr>
        <w:ind w:left="4968" w:hanging="216"/>
      </w:pPr>
      <w:rPr>
        <w:rFonts w:hint="default"/>
      </w:rPr>
    </w:lvl>
    <w:lvl w:ilvl="8" w:tplc="15388770">
      <w:numFmt w:val="bullet"/>
      <w:lvlText w:val="•"/>
      <w:lvlJc w:val="left"/>
      <w:pPr>
        <w:ind w:left="5632" w:hanging="216"/>
      </w:pPr>
      <w:rPr>
        <w:rFonts w:hint="default"/>
      </w:rPr>
    </w:lvl>
  </w:abstractNum>
  <w:abstractNum w:abstractNumId="4" w15:restartNumberingAfterBreak="0">
    <w:nsid w:val="28ED39C3"/>
    <w:multiLevelType w:val="hybridMultilevel"/>
    <w:tmpl w:val="63D65D7A"/>
    <w:lvl w:ilvl="0" w:tplc="67A2357A">
      <w:numFmt w:val="bullet"/>
      <w:lvlText w:val=""/>
      <w:lvlJc w:val="left"/>
      <w:pPr>
        <w:ind w:left="323" w:hanging="216"/>
      </w:pPr>
      <w:rPr>
        <w:rFonts w:ascii="Symbol" w:eastAsia="Symbol" w:hAnsi="Symbol" w:cs="Symbol" w:hint="default"/>
        <w:w w:val="99"/>
        <w:sz w:val="16"/>
        <w:szCs w:val="16"/>
      </w:rPr>
    </w:lvl>
    <w:lvl w:ilvl="1" w:tplc="0978950A">
      <w:numFmt w:val="bullet"/>
      <w:lvlText w:val="•"/>
      <w:lvlJc w:val="left"/>
      <w:pPr>
        <w:ind w:left="984" w:hanging="216"/>
      </w:pPr>
      <w:rPr>
        <w:rFonts w:hint="default"/>
      </w:rPr>
    </w:lvl>
    <w:lvl w:ilvl="2" w:tplc="28F21504">
      <w:numFmt w:val="bullet"/>
      <w:lvlText w:val="•"/>
      <w:lvlJc w:val="left"/>
      <w:pPr>
        <w:ind w:left="1648" w:hanging="216"/>
      </w:pPr>
      <w:rPr>
        <w:rFonts w:hint="default"/>
      </w:rPr>
    </w:lvl>
    <w:lvl w:ilvl="3" w:tplc="902200CA">
      <w:numFmt w:val="bullet"/>
      <w:lvlText w:val="•"/>
      <w:lvlJc w:val="left"/>
      <w:pPr>
        <w:ind w:left="2312" w:hanging="216"/>
      </w:pPr>
      <w:rPr>
        <w:rFonts w:hint="default"/>
      </w:rPr>
    </w:lvl>
    <w:lvl w:ilvl="4" w:tplc="A5E01CAE">
      <w:numFmt w:val="bullet"/>
      <w:lvlText w:val="•"/>
      <w:lvlJc w:val="left"/>
      <w:pPr>
        <w:ind w:left="2976" w:hanging="216"/>
      </w:pPr>
      <w:rPr>
        <w:rFonts w:hint="default"/>
      </w:rPr>
    </w:lvl>
    <w:lvl w:ilvl="5" w:tplc="9A60C228">
      <w:numFmt w:val="bullet"/>
      <w:lvlText w:val="•"/>
      <w:lvlJc w:val="left"/>
      <w:pPr>
        <w:ind w:left="3640" w:hanging="216"/>
      </w:pPr>
      <w:rPr>
        <w:rFonts w:hint="default"/>
      </w:rPr>
    </w:lvl>
    <w:lvl w:ilvl="6" w:tplc="1818C314">
      <w:numFmt w:val="bullet"/>
      <w:lvlText w:val="•"/>
      <w:lvlJc w:val="left"/>
      <w:pPr>
        <w:ind w:left="4304" w:hanging="216"/>
      </w:pPr>
      <w:rPr>
        <w:rFonts w:hint="default"/>
      </w:rPr>
    </w:lvl>
    <w:lvl w:ilvl="7" w:tplc="5310E32E">
      <w:numFmt w:val="bullet"/>
      <w:lvlText w:val="•"/>
      <w:lvlJc w:val="left"/>
      <w:pPr>
        <w:ind w:left="4968" w:hanging="216"/>
      </w:pPr>
      <w:rPr>
        <w:rFonts w:hint="default"/>
      </w:rPr>
    </w:lvl>
    <w:lvl w:ilvl="8" w:tplc="DD047D14">
      <w:numFmt w:val="bullet"/>
      <w:lvlText w:val="•"/>
      <w:lvlJc w:val="left"/>
      <w:pPr>
        <w:ind w:left="5632" w:hanging="216"/>
      </w:pPr>
      <w:rPr>
        <w:rFonts w:hint="default"/>
      </w:rPr>
    </w:lvl>
  </w:abstractNum>
  <w:abstractNum w:abstractNumId="5" w15:restartNumberingAfterBreak="0">
    <w:nsid w:val="2EAC3CCF"/>
    <w:multiLevelType w:val="hybridMultilevel"/>
    <w:tmpl w:val="34D2B5F6"/>
    <w:lvl w:ilvl="0" w:tplc="32848176">
      <w:numFmt w:val="bullet"/>
      <w:lvlText w:val=""/>
      <w:lvlJc w:val="left"/>
      <w:pPr>
        <w:ind w:left="323" w:hanging="216"/>
      </w:pPr>
      <w:rPr>
        <w:rFonts w:ascii="Symbol" w:eastAsia="Symbol" w:hAnsi="Symbol" w:cs="Symbol" w:hint="default"/>
        <w:w w:val="99"/>
        <w:sz w:val="16"/>
        <w:szCs w:val="16"/>
      </w:rPr>
    </w:lvl>
    <w:lvl w:ilvl="1" w:tplc="273A58B8">
      <w:numFmt w:val="bullet"/>
      <w:lvlText w:val="•"/>
      <w:lvlJc w:val="left"/>
      <w:pPr>
        <w:ind w:left="984" w:hanging="216"/>
      </w:pPr>
      <w:rPr>
        <w:rFonts w:hint="default"/>
      </w:rPr>
    </w:lvl>
    <w:lvl w:ilvl="2" w:tplc="DFAA3DA4">
      <w:numFmt w:val="bullet"/>
      <w:lvlText w:val="•"/>
      <w:lvlJc w:val="left"/>
      <w:pPr>
        <w:ind w:left="1648" w:hanging="216"/>
      </w:pPr>
      <w:rPr>
        <w:rFonts w:hint="default"/>
      </w:rPr>
    </w:lvl>
    <w:lvl w:ilvl="3" w:tplc="22CE87D2">
      <w:numFmt w:val="bullet"/>
      <w:lvlText w:val="•"/>
      <w:lvlJc w:val="left"/>
      <w:pPr>
        <w:ind w:left="2312" w:hanging="216"/>
      </w:pPr>
      <w:rPr>
        <w:rFonts w:hint="default"/>
      </w:rPr>
    </w:lvl>
    <w:lvl w:ilvl="4" w:tplc="26784B90">
      <w:numFmt w:val="bullet"/>
      <w:lvlText w:val="•"/>
      <w:lvlJc w:val="left"/>
      <w:pPr>
        <w:ind w:left="2976" w:hanging="216"/>
      </w:pPr>
      <w:rPr>
        <w:rFonts w:hint="default"/>
      </w:rPr>
    </w:lvl>
    <w:lvl w:ilvl="5" w:tplc="478411F4">
      <w:numFmt w:val="bullet"/>
      <w:lvlText w:val="•"/>
      <w:lvlJc w:val="left"/>
      <w:pPr>
        <w:ind w:left="3640" w:hanging="216"/>
      </w:pPr>
      <w:rPr>
        <w:rFonts w:hint="default"/>
      </w:rPr>
    </w:lvl>
    <w:lvl w:ilvl="6" w:tplc="433A9944">
      <w:numFmt w:val="bullet"/>
      <w:lvlText w:val="•"/>
      <w:lvlJc w:val="left"/>
      <w:pPr>
        <w:ind w:left="4304" w:hanging="216"/>
      </w:pPr>
      <w:rPr>
        <w:rFonts w:hint="default"/>
      </w:rPr>
    </w:lvl>
    <w:lvl w:ilvl="7" w:tplc="4B602BC8">
      <w:numFmt w:val="bullet"/>
      <w:lvlText w:val="•"/>
      <w:lvlJc w:val="left"/>
      <w:pPr>
        <w:ind w:left="4968" w:hanging="216"/>
      </w:pPr>
      <w:rPr>
        <w:rFonts w:hint="default"/>
      </w:rPr>
    </w:lvl>
    <w:lvl w:ilvl="8" w:tplc="17D0D538">
      <w:numFmt w:val="bullet"/>
      <w:lvlText w:val="•"/>
      <w:lvlJc w:val="left"/>
      <w:pPr>
        <w:ind w:left="5632" w:hanging="216"/>
      </w:pPr>
      <w:rPr>
        <w:rFonts w:hint="default"/>
      </w:rPr>
    </w:lvl>
  </w:abstractNum>
  <w:abstractNum w:abstractNumId="6" w15:restartNumberingAfterBreak="0">
    <w:nsid w:val="78577F02"/>
    <w:multiLevelType w:val="hybridMultilevel"/>
    <w:tmpl w:val="92DC9140"/>
    <w:lvl w:ilvl="0" w:tplc="E3386A88">
      <w:numFmt w:val="bullet"/>
      <w:lvlText w:val=""/>
      <w:lvlJc w:val="left"/>
      <w:pPr>
        <w:ind w:left="480" w:hanging="360"/>
      </w:pPr>
      <w:rPr>
        <w:rFonts w:ascii="Wingdings" w:eastAsia="Wingdings" w:hAnsi="Wingdings" w:cs="Wingdings" w:hint="default"/>
        <w:color w:val="161616"/>
        <w:w w:val="99"/>
        <w:sz w:val="22"/>
        <w:szCs w:val="22"/>
      </w:rPr>
    </w:lvl>
    <w:lvl w:ilvl="1" w:tplc="4F1A2574">
      <w:numFmt w:val="bullet"/>
      <w:lvlText w:val="−"/>
      <w:lvlJc w:val="left"/>
      <w:pPr>
        <w:ind w:left="839" w:hanging="360"/>
      </w:pPr>
      <w:rPr>
        <w:rFonts w:ascii="Times New Roman" w:eastAsia="Times New Roman" w:hAnsi="Times New Roman" w:cs="Times New Roman" w:hint="default"/>
        <w:color w:val="161616"/>
        <w:w w:val="99"/>
        <w:sz w:val="22"/>
        <w:szCs w:val="22"/>
      </w:rPr>
    </w:lvl>
    <w:lvl w:ilvl="2" w:tplc="5C16467E">
      <w:numFmt w:val="bullet"/>
      <w:lvlText w:val=""/>
      <w:lvlJc w:val="left"/>
      <w:pPr>
        <w:ind w:left="119" w:hanging="360"/>
      </w:pPr>
      <w:rPr>
        <w:rFonts w:ascii="Wingdings" w:eastAsia="Wingdings" w:hAnsi="Wingdings" w:cs="Wingdings" w:hint="default"/>
        <w:color w:val="161616"/>
        <w:w w:val="99"/>
        <w:sz w:val="22"/>
        <w:szCs w:val="22"/>
      </w:rPr>
    </w:lvl>
    <w:lvl w:ilvl="3" w:tplc="B944E446">
      <w:numFmt w:val="bullet"/>
      <w:lvlText w:val="•"/>
      <w:lvlJc w:val="left"/>
      <w:pPr>
        <w:ind w:left="1945" w:hanging="360"/>
      </w:pPr>
      <w:rPr>
        <w:rFonts w:hint="default"/>
      </w:rPr>
    </w:lvl>
    <w:lvl w:ilvl="4" w:tplc="04FED3EA">
      <w:numFmt w:val="bullet"/>
      <w:lvlText w:val="•"/>
      <w:lvlJc w:val="left"/>
      <w:pPr>
        <w:ind w:left="3050" w:hanging="360"/>
      </w:pPr>
      <w:rPr>
        <w:rFonts w:hint="default"/>
      </w:rPr>
    </w:lvl>
    <w:lvl w:ilvl="5" w:tplc="504A8CF8">
      <w:numFmt w:val="bullet"/>
      <w:lvlText w:val="•"/>
      <w:lvlJc w:val="left"/>
      <w:pPr>
        <w:ind w:left="4155" w:hanging="360"/>
      </w:pPr>
      <w:rPr>
        <w:rFonts w:hint="default"/>
      </w:rPr>
    </w:lvl>
    <w:lvl w:ilvl="6" w:tplc="9592A49E">
      <w:numFmt w:val="bullet"/>
      <w:lvlText w:val="•"/>
      <w:lvlJc w:val="left"/>
      <w:pPr>
        <w:ind w:left="5260" w:hanging="360"/>
      </w:pPr>
      <w:rPr>
        <w:rFonts w:hint="default"/>
      </w:rPr>
    </w:lvl>
    <w:lvl w:ilvl="7" w:tplc="B3CE8A1E">
      <w:numFmt w:val="bullet"/>
      <w:lvlText w:val="•"/>
      <w:lvlJc w:val="left"/>
      <w:pPr>
        <w:ind w:left="6365" w:hanging="360"/>
      </w:pPr>
      <w:rPr>
        <w:rFonts w:hint="default"/>
      </w:rPr>
    </w:lvl>
    <w:lvl w:ilvl="8" w:tplc="1E120296">
      <w:numFmt w:val="bullet"/>
      <w:lvlText w:val="•"/>
      <w:lvlJc w:val="left"/>
      <w:pPr>
        <w:ind w:left="7470" w:hanging="360"/>
      </w:pPr>
      <w:rPr>
        <w:rFonts w:hint="default"/>
      </w:r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43"/>
    <w:rsid w:val="00001543"/>
    <w:rsid w:val="00105ACD"/>
    <w:rsid w:val="001468AE"/>
    <w:rsid w:val="00491E3A"/>
    <w:rsid w:val="00555A6C"/>
    <w:rsid w:val="007213DB"/>
    <w:rsid w:val="00817AC1"/>
    <w:rsid w:val="00871338"/>
    <w:rsid w:val="008F4A45"/>
    <w:rsid w:val="00934597"/>
    <w:rsid w:val="009F22E6"/>
    <w:rsid w:val="00BF3C6C"/>
    <w:rsid w:val="00CC20FB"/>
    <w:rsid w:val="00E015A2"/>
    <w:rsid w:val="00E869BD"/>
    <w:rsid w:val="00F5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1C99"/>
  <w15:chartTrackingRefBased/>
  <w15:docId w15:val="{D7B8D9AB-19E0-4C02-A68B-CEB11B0E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543"/>
    <w:pPr>
      <w:widowControl w:val="0"/>
      <w:autoSpaceDE w:val="0"/>
      <w:autoSpaceDN w:val="0"/>
      <w:spacing w:after="0" w:line="240" w:lineRule="auto"/>
    </w:pPr>
    <w:rPr>
      <w:rFonts w:ascii="Cambria" w:eastAsia="Cambria" w:hAnsi="Cambria" w:cs="Cambria"/>
    </w:rPr>
  </w:style>
  <w:style w:type="paragraph" w:styleId="Heading2">
    <w:name w:val="heading 2"/>
    <w:basedOn w:val="Normal"/>
    <w:link w:val="Heading2Char"/>
    <w:uiPriority w:val="9"/>
    <w:unhideWhenUsed/>
    <w:qFormat/>
    <w:rsid w:val="00001543"/>
    <w:pPr>
      <w:ind w:left="120"/>
      <w:outlineLvl w:val="1"/>
    </w:pPr>
    <w:rPr>
      <w:rFonts w:ascii="Century Gothic" w:eastAsia="Century Gothic" w:hAnsi="Century Gothic" w:cs="Century Gothic"/>
      <w:b/>
      <w:bCs/>
      <w:sz w:val="26"/>
      <w:szCs w:val="26"/>
    </w:rPr>
  </w:style>
  <w:style w:type="paragraph" w:styleId="Heading3">
    <w:name w:val="heading 3"/>
    <w:basedOn w:val="Normal"/>
    <w:link w:val="Heading3Char"/>
    <w:uiPriority w:val="9"/>
    <w:unhideWhenUsed/>
    <w:qFormat/>
    <w:rsid w:val="00001543"/>
    <w:pPr>
      <w:ind w:left="120"/>
      <w:outlineLvl w:val="2"/>
    </w:pPr>
    <w:rPr>
      <w:rFonts w:ascii="Century Gothic" w:eastAsia="Century Gothic" w:hAnsi="Century Gothic" w:cs="Century Goth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1543"/>
    <w:rPr>
      <w:rFonts w:ascii="Century Gothic" w:eastAsia="Century Gothic" w:hAnsi="Century Gothic" w:cs="Century Gothic"/>
      <w:b/>
      <w:bCs/>
      <w:sz w:val="26"/>
      <w:szCs w:val="26"/>
    </w:rPr>
  </w:style>
  <w:style w:type="character" w:customStyle="1" w:styleId="Heading3Char">
    <w:name w:val="Heading 3 Char"/>
    <w:basedOn w:val="DefaultParagraphFont"/>
    <w:link w:val="Heading3"/>
    <w:uiPriority w:val="9"/>
    <w:rsid w:val="00001543"/>
    <w:rPr>
      <w:rFonts w:ascii="Century Gothic" w:eastAsia="Century Gothic" w:hAnsi="Century Gothic" w:cs="Century Gothic"/>
      <w:b/>
      <w:bCs/>
      <w:sz w:val="24"/>
      <w:szCs w:val="24"/>
    </w:rPr>
  </w:style>
  <w:style w:type="paragraph" w:styleId="BodyText">
    <w:name w:val="Body Text"/>
    <w:basedOn w:val="Normal"/>
    <w:link w:val="BodyTextChar"/>
    <w:uiPriority w:val="1"/>
    <w:qFormat/>
    <w:rsid w:val="00001543"/>
    <w:pPr>
      <w:spacing w:before="120"/>
      <w:ind w:hanging="360"/>
    </w:pPr>
  </w:style>
  <w:style w:type="character" w:customStyle="1" w:styleId="BodyTextChar">
    <w:name w:val="Body Text Char"/>
    <w:basedOn w:val="DefaultParagraphFont"/>
    <w:link w:val="BodyText"/>
    <w:uiPriority w:val="1"/>
    <w:rsid w:val="00001543"/>
    <w:rPr>
      <w:rFonts w:ascii="Cambria" w:eastAsia="Cambria" w:hAnsi="Cambria" w:cs="Cambria"/>
    </w:rPr>
  </w:style>
  <w:style w:type="paragraph" w:styleId="ListParagraph">
    <w:name w:val="List Paragraph"/>
    <w:basedOn w:val="Normal"/>
    <w:uiPriority w:val="34"/>
    <w:qFormat/>
    <w:rsid w:val="00001543"/>
    <w:pPr>
      <w:spacing w:before="120"/>
      <w:ind w:left="480" w:hanging="360"/>
    </w:pPr>
  </w:style>
  <w:style w:type="paragraph" w:customStyle="1" w:styleId="TableParagraph">
    <w:name w:val="Table Paragraph"/>
    <w:basedOn w:val="Normal"/>
    <w:uiPriority w:val="1"/>
    <w:qFormat/>
    <w:rsid w:val="00001543"/>
    <w:pPr>
      <w:spacing w:before="20"/>
      <w:ind w:left="323" w:hanging="216"/>
    </w:pPr>
  </w:style>
  <w:style w:type="paragraph" w:styleId="BalloonText">
    <w:name w:val="Balloon Text"/>
    <w:basedOn w:val="Normal"/>
    <w:link w:val="BalloonTextChar"/>
    <w:uiPriority w:val="99"/>
    <w:semiHidden/>
    <w:unhideWhenUsed/>
    <w:rsid w:val="00E869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9BD"/>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8983">
      <w:bodyDiv w:val="1"/>
      <w:marLeft w:val="0"/>
      <w:marRight w:val="0"/>
      <w:marTop w:val="0"/>
      <w:marBottom w:val="0"/>
      <w:divBdr>
        <w:top w:val="none" w:sz="0" w:space="0" w:color="auto"/>
        <w:left w:val="none" w:sz="0" w:space="0" w:color="auto"/>
        <w:bottom w:val="none" w:sz="0" w:space="0" w:color="auto"/>
        <w:right w:val="none" w:sz="0" w:space="0" w:color="auto"/>
      </w:divBdr>
    </w:div>
    <w:div w:id="832836634">
      <w:bodyDiv w:val="1"/>
      <w:marLeft w:val="0"/>
      <w:marRight w:val="0"/>
      <w:marTop w:val="0"/>
      <w:marBottom w:val="0"/>
      <w:divBdr>
        <w:top w:val="none" w:sz="0" w:space="0" w:color="auto"/>
        <w:left w:val="none" w:sz="0" w:space="0" w:color="auto"/>
        <w:bottom w:val="none" w:sz="0" w:space="0" w:color="auto"/>
        <w:right w:val="none" w:sz="0" w:space="0" w:color="auto"/>
      </w:divBdr>
    </w:div>
    <w:div w:id="1227103969">
      <w:bodyDiv w:val="1"/>
      <w:marLeft w:val="0"/>
      <w:marRight w:val="0"/>
      <w:marTop w:val="0"/>
      <w:marBottom w:val="0"/>
      <w:divBdr>
        <w:top w:val="none" w:sz="0" w:space="0" w:color="auto"/>
        <w:left w:val="none" w:sz="0" w:space="0" w:color="auto"/>
        <w:bottom w:val="none" w:sz="0" w:space="0" w:color="auto"/>
        <w:right w:val="none" w:sz="0" w:space="0" w:color="auto"/>
      </w:divBdr>
    </w:div>
    <w:div w:id="18342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93ED2-6AA6-43DE-A2C9-22AECCA4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Laurie</dc:creator>
  <cp:keywords/>
  <dc:description/>
  <cp:lastModifiedBy>Bakeberg, Andrea</cp:lastModifiedBy>
  <cp:revision>8</cp:revision>
  <cp:lastPrinted>2020-01-08T18:51:00Z</cp:lastPrinted>
  <dcterms:created xsi:type="dcterms:W3CDTF">2020-01-08T15:05:00Z</dcterms:created>
  <dcterms:modified xsi:type="dcterms:W3CDTF">2020-02-04T17:59:00Z</dcterms:modified>
</cp:coreProperties>
</file>